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A" w:rsidRPr="00A64A8A" w:rsidRDefault="00A64A8A" w:rsidP="006C4603">
      <w:pPr>
        <w:spacing w:before="375" w:after="225" w:line="390" w:lineRule="atLeast"/>
        <w:outlineLvl w:val="2"/>
        <w:rPr>
          <w:rFonts w:ascii="Roboto" w:eastAsia="Times New Roman" w:hAnsi="Roboto" w:cs="Times New Roman"/>
          <w:caps/>
          <w:color w:val="1F1F1F"/>
          <w:sz w:val="30"/>
          <w:szCs w:val="30"/>
          <w:lang w:eastAsia="hr-BA"/>
        </w:rPr>
      </w:pPr>
      <w:r w:rsidRPr="00A64A8A">
        <w:rPr>
          <w:rFonts w:ascii="Roboto" w:eastAsia="Times New Roman" w:hAnsi="Roboto" w:cs="Times New Roman"/>
          <w:b/>
          <w:bCs/>
          <w:caps/>
          <w:color w:val="1F1F1F"/>
          <w:sz w:val="30"/>
          <w:szCs w:val="30"/>
          <w:lang w:eastAsia="hr-BA"/>
        </w:rPr>
        <w:t>PLAN JAVNIH NABAVKI USLUGA, ROBA I RADOVA ZA 2018. GODINU</w:t>
      </w:r>
    </w:p>
    <w:p w:rsidR="00A64A8A" w:rsidRPr="00A64A8A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Ovim planom Javnih nabavki KJP Centar Skenderija, utvrđuje se obaveza provođenja postupaka Javnih nabavki propisanih zakonom o javnim nabavkama BiH (Službeni glasnik BiH broj: 39/14).</w:t>
      </w:r>
    </w:p>
    <w:p w:rsidR="00A64A8A" w:rsidRPr="00A64A8A" w:rsidRDefault="00A64A8A" w:rsidP="006C4603">
      <w:pPr>
        <w:spacing w:before="225" w:after="225" w:line="240" w:lineRule="auto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Predloženi plan nabavki sadrži slijedeće podatke:</w:t>
      </w: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 Predmet nabavke (vrsta roba, usluga, radova)</w:t>
      </w: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 Procjenjenu vrijednost predmeta Javne nabavke</w:t>
      </w: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 Vrstu predloženih postupaka Javne nabavke.</w:t>
      </w:r>
    </w:p>
    <w:p w:rsidR="006C4603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Osim nabavki koje su provedene u tabeli ovog plana, javna nabavka vršit će se i u drugim hitnim slučajevima putem direktnog sporazuma, u skladu sa pravilnikom i zakonom o Javnim nabavkama. Ovaj plan nabavki se ne odnosi na nabavke koje se odnose na kapitalne investicije. U pripremi plana nabavke, svi sektori iz sastava KJP Centar „Skenderija" d.o.o. su vršili planiranje vlastitih potreba, koje je Sektor za komercijalne poslove preradio, uobličio i doveo u sklad sa planom finansijskih prihoda za 2018. godinu.</w:t>
      </w:r>
    </w:p>
    <w:p w:rsidR="00A64A8A" w:rsidRPr="00A64A8A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bookmarkStart w:id="0" w:name="_GoBack"/>
      <w:bookmarkEnd w:id="0"/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5103"/>
        <w:gridCol w:w="1774"/>
        <w:gridCol w:w="2620"/>
      </w:tblGrid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R.B.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Predmet javne nabavke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Iznos (KM)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Predloženi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Računarska oprema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Kancelarijski materijal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Alkoholna pića (LOT 1)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Bezalkoholna pića i napitci (LOT 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85.000,00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</w: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48.000,00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  <w:r w:rsidR="006C4603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 xml:space="preserve"> – LOT 1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 Konkurentski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 - LOT 2 (izmjena 14/06/18)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Ugostiteljski artikli, sitni inventar i potrošni materijal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Vodomaterijal (LOT 1)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Sanitarna oprema (LOT 2)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</w: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Štampani materijal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Sanitarni materijal i sredstva za čišćenje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Građevinski materijal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Outdoor oglašavanje, LCD display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 xml:space="preserve">Konkurentski postupak sa mogućnošću sklapanja okvirnog 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Elektromaterijal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12.000,00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Rasvjeta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Goriva i maziva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Lož ulje za kotlovnice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Opremanje, uređenje sajamskih prostora, štandova, izložbenog prostora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Predrevizija i Revizija seta finansijskih izvještaja o poslovanju za 2018. godinu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8.000,00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Konkurentski postupak sa mogućnošću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Osiguranje imovine, odgovornosti od djelaznosti, i vozila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7.000,00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javne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HTZ oprema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Održavanje kotlovnice, kotlovskog postrojenja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Održavanje liftova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Održavanje sistema dojave požara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Vatrodojava (centrala i javljači)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Trafo stanice (Servis)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Registracija motornih vozila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i održavanje motornih vozila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i održavanje specijaliziranih vozila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Pružanje catering usluga u Službi za ugostiteljstvo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Oprema za video nadzor (popravka i proširenje VNS-a)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Servis i održavanje alarmnih sistema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„Heimman“ uređaja i metaldetektorskih vrata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2.200,00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Redovno servisiranje vatrogasne opreme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Servisiranje parking sistema sa uključenim isporukama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rezervnih dijelova i kartica (Siemens, Designa)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Dezinfekcija, Dezinsekcija, Deratizacija (DDD mjere)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Reparacija sportske plohe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Sanacija platoa (površine ispred službenog ulaza i ulaz u dvoranu MD)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 xml:space="preserve">Otvoreni postupak sa mogućnošću sklapanja 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stolica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 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reklamnog  vanjskog osvjetljenja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aluminijskih portala za atrij Privrednog grada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24.000,00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usluga mobilno-fiksne telefonije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1.900,00</w:t>
            </w: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br/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/ mjesećno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Pregovarački postupak bez objave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WEB Hosting i Internet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100,00</w:t>
            </w: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br/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/ mjesećno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Sanacija poda dvorane „Mirza Delibašić“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80.000,00 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zastupanja u parničnim predmetima i usluge konsultovanja i savjetovanja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LED parova za Dancing dvoranu DM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iznajmljivanja audio i video opreme za realizaciju koncerata u KJP Centar Skenderija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LED rasvjete za KJP Centar Skenderija – Privredni grad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usluga muzičkih umjetnika, artista, izvođača, pjevača, pjevačkih grupa, pozorišnih umjetnika, muzičkih skupina, za potrebe KJP Centar Skenderija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180.000,00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Postupak dodjele ugovora o uslugama iz Anexa II, dio B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Brušenje parketa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Izvođenje javnog vatrometa povodom manifestacija u KJP Centar Skenderija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2.500,00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Najam video opreme za sajmove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najma konferencijskog sistema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Izrada stručnog mišljenja sa proračunom nosivosti konstrukcije dijela platoa kompleksa Skenderija za potrebe organizovanja masovnih skupova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3.500,00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mobilne ledene plohe za profesionalne i rekreativne sportove na ledu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1.020.000,00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Međunarodni, otvoreni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Izrada hidroizolacije na ulazima u dvoranu „Mirza Delibašić“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3.616,00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 xml:space="preserve">Nabavka usluga ocrtavanja parking mjesta i 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bojenje nosivih stubova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lastRenderedPageBreak/>
              <w:t>5.000,00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52.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projektora i opreme za projektore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TV i RADIO reklama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30.000,00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scenske rasvjete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Projekt sanacije konstruktivnih elemenata na dijelu Privrednog grada CS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220.000,00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audio opreme za Dancing dvoranu DM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18.500,00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itisona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Priprema, izrada, prodaja i kontrola karata za programe u KJP Centar Skenderija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lakiranja sportske plohe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Amstrong ploča 60x60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LCD, LED TV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LED displaya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70.000,00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sportskog mobilijara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48.000,00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alubond obloge i nosive konstrukcije za oblogu na ogradnom dijelu Atrija i ulaza u Privredni grad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Revizija seta finansijkih izvještaja o poslovanju za 2017. godinu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sajamskih pagoda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vatrodojavne centrale sa instalacijom i javljačima požara za: Privredni grad, dvoranu „Mirza Delibašić“, sportske dvorane I, II, i III, Kotlovnicu, Sajamsku dvoranu i Garažu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65.000,00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sportskog mobilijara - multifunkcionalni portabl pod za spoljnu upotrebu (podloga za sportski teren)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mobilijara za dječije igralište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43.000,00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A64A8A" w:rsidRPr="00A64A8A" w:rsidTr="006C4603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putničkog vozila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4A8A" w:rsidRPr="00A64A8A" w:rsidRDefault="00A64A8A" w:rsidP="006C46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A64A8A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</w:tbl>
    <w:p w:rsidR="00BA779D" w:rsidRPr="00A64A8A" w:rsidRDefault="00BA779D" w:rsidP="006C4603"/>
    <w:sectPr w:rsidR="00BA779D" w:rsidRPr="00A64A8A" w:rsidSect="006C4603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A"/>
    <w:rsid w:val="006C4603"/>
    <w:rsid w:val="00A64A8A"/>
    <w:rsid w:val="00B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paragraph" w:styleId="Heading3">
    <w:name w:val="heading 3"/>
    <w:basedOn w:val="Normal"/>
    <w:link w:val="Heading3Char"/>
    <w:uiPriority w:val="9"/>
    <w:qFormat/>
    <w:rsid w:val="00A6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64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A8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4A8A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64A8A"/>
    <w:rPr>
      <w:rFonts w:ascii="Times New Roman" w:eastAsia="Times New Roman" w:hAnsi="Times New Roman" w:cs="Times New Roman"/>
      <w:b/>
      <w:bCs/>
      <w:sz w:val="27"/>
      <w:szCs w:val="27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paragraph" w:styleId="Heading3">
    <w:name w:val="heading 3"/>
    <w:basedOn w:val="Normal"/>
    <w:link w:val="Heading3Char"/>
    <w:uiPriority w:val="9"/>
    <w:qFormat/>
    <w:rsid w:val="00A6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64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A8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4A8A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64A8A"/>
    <w:rPr>
      <w:rFonts w:ascii="Times New Roman" w:eastAsia="Times New Roman" w:hAnsi="Times New Roman" w:cs="Times New Roman"/>
      <w:b/>
      <w:bCs/>
      <w:sz w:val="27"/>
      <w:szCs w:val="27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2018-12-19T08:41:00Z</dcterms:created>
  <dcterms:modified xsi:type="dcterms:W3CDTF">2018-12-19T09:06:00Z</dcterms:modified>
</cp:coreProperties>
</file>